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A72F6B">
        <w:rPr>
          <w:rFonts w:ascii="Times New Roman" w:hAnsi="Times New Roman"/>
          <w:b/>
          <w:szCs w:val="22"/>
        </w:rPr>
        <w:t>„</w:t>
      </w:r>
      <w:r w:rsidR="00FF255B" w:rsidRPr="00FF255B">
        <w:rPr>
          <w:rFonts w:ascii="Times New Roman" w:hAnsi="Times New Roman"/>
          <w:b/>
          <w:sz w:val="24"/>
        </w:rPr>
        <w:t>Materská škola Nepoškvrneného srdca Panny Márie - IKT</w:t>
      </w:r>
      <w:r w:rsidRPr="00FF255B">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w:t>
      </w:r>
      <w:proofErr w:type="spellStart"/>
      <w:r w:rsidRPr="00F504F5">
        <w:rPr>
          <w:color w:val="auto"/>
          <w:sz w:val="22"/>
          <w:szCs w:val="22"/>
        </w:rPr>
        <w:t>nasl</w:t>
      </w:r>
      <w:proofErr w:type="spellEnd"/>
      <w:r w:rsidRPr="00F504F5">
        <w:rPr>
          <w:color w:val="auto"/>
          <w:sz w:val="22"/>
          <w:szCs w:val="22"/>
        </w:rPr>
        <w:t>.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proofErr w:type="spellStart"/>
      <w:r>
        <w:rPr>
          <w:rFonts w:ascii="Times New Roman" w:hAnsi="Times New Roman"/>
          <w:noProof w:val="0"/>
          <w:szCs w:val="22"/>
        </w:rPr>
        <w:t>Špitálska</w:t>
      </w:r>
      <w:proofErr w:type="spellEnd"/>
      <w:r>
        <w:rPr>
          <w:rFonts w:ascii="Times New Roman" w:hAnsi="Times New Roman"/>
          <w:noProof w:val="0"/>
          <w:szCs w:val="22"/>
        </w:rPr>
        <w:t xml:space="preserve">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 xml:space="preserve">Prof. ThDr. Jozef </w:t>
      </w:r>
      <w:proofErr w:type="spellStart"/>
      <w:r>
        <w:rPr>
          <w:rFonts w:ascii="Times New Roman" w:hAnsi="Times New Roman"/>
          <w:noProof w:val="0"/>
          <w:szCs w:val="22"/>
        </w:rPr>
        <w:t>Haľko</w:t>
      </w:r>
      <w:proofErr w:type="spellEnd"/>
      <w:r>
        <w:rPr>
          <w:rFonts w:ascii="Times New Roman" w:hAnsi="Times New Roman"/>
          <w:noProof w:val="0"/>
          <w:szCs w:val="22"/>
        </w:rPr>
        <w:t>,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FF255B" w:rsidRPr="00FF255B">
        <w:rPr>
          <w:rFonts w:ascii="Times New Roman" w:hAnsi="Times New Roman"/>
          <w:b/>
          <w:sz w:val="24"/>
        </w:rPr>
        <w:t>Materská škola Nepoškvrneného srdca Panny Márie - IKT</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FF255B" w:rsidRPr="00FF255B">
        <w:rPr>
          <w:rFonts w:ascii="Times New Roman" w:hAnsi="Times New Roman"/>
          <w:b/>
          <w:sz w:val="24"/>
        </w:rPr>
        <w:t>Materská škola Nepoškvrneného srdca Panny Márie - IKT</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 xml:space="preserve">IV </w:t>
      </w:r>
      <w:proofErr w:type="spellStart"/>
      <w:proofErr w:type="gramStart"/>
      <w:r w:rsidRPr="00F504F5">
        <w:rPr>
          <w:rFonts w:ascii="Times New Roman" w:hAnsi="Times New Roman"/>
          <w:noProof w:val="0"/>
          <w:color w:val="000000"/>
          <w:szCs w:val="22"/>
          <w:lang w:val="en-US"/>
        </w:rPr>
        <w:t>ods</w:t>
      </w:r>
      <w:proofErr w:type="spellEnd"/>
      <w:proofErr w:type="gramEnd"/>
      <w:r w:rsidRPr="00F504F5">
        <w:rPr>
          <w:rFonts w:ascii="Times New Roman" w:hAnsi="Times New Roman"/>
          <w:noProof w:val="0"/>
          <w:color w:val="000000"/>
          <w:szCs w:val="22"/>
          <w:lang w:val="en-US"/>
        </w:rPr>
        <w:t xml:space="preserve">. 3 </w:t>
      </w:r>
      <w:proofErr w:type="spellStart"/>
      <w:r w:rsidRPr="00F504F5">
        <w:rPr>
          <w:rFonts w:ascii="Times New Roman" w:hAnsi="Times New Roman"/>
          <w:noProof w:val="0"/>
          <w:color w:val="000000"/>
          <w:szCs w:val="22"/>
          <w:lang w:val="en-US"/>
        </w:rPr>
        <w:t>tejto</w:t>
      </w:r>
      <w:proofErr w:type="spellEnd"/>
      <w:r w:rsidRPr="00F504F5">
        <w:rPr>
          <w:rFonts w:ascii="Times New Roman" w:hAnsi="Times New Roman"/>
          <w:noProof w:val="0"/>
          <w:color w:val="000000"/>
          <w:szCs w:val="22"/>
          <w:lang w:val="en-US"/>
        </w:rPr>
        <w:t xml:space="preserve"> </w:t>
      </w:r>
      <w:proofErr w:type="spellStart"/>
      <w:r w:rsidRPr="00F504F5">
        <w:rPr>
          <w:rFonts w:ascii="Times New Roman" w:hAnsi="Times New Roman"/>
          <w:noProof w:val="0"/>
          <w:color w:val="000000"/>
          <w:szCs w:val="22"/>
          <w:lang w:val="en-US"/>
        </w:rPr>
        <w:t>zmluvy</w:t>
      </w:r>
      <w:proofErr w:type="spellEnd"/>
      <w:r w:rsidRPr="00F504F5">
        <w:rPr>
          <w:rFonts w:ascii="Times New Roman" w:hAnsi="Times New Roman"/>
          <w:noProof w:val="0"/>
          <w:color w:val="000000"/>
          <w:szCs w:val="22"/>
          <w:lang w:val="en-US"/>
        </w:rPr>
        <w:t>.</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Po prevzatí tovaru spíšu strany protokol, ktorý bude obsahovať aj súpis prípadných zistených </w:t>
      </w:r>
      <w:proofErr w:type="spellStart"/>
      <w:r w:rsidRPr="00F504F5">
        <w:rPr>
          <w:rFonts w:ascii="Times New Roman" w:hAnsi="Times New Roman"/>
          <w:noProof w:val="0"/>
          <w:szCs w:val="22"/>
        </w:rPr>
        <w:t>vád</w:t>
      </w:r>
      <w:proofErr w:type="spellEnd"/>
      <w:r w:rsidRPr="00F504F5">
        <w:rPr>
          <w:rFonts w:ascii="Times New Roman" w:hAnsi="Times New Roman"/>
          <w:noProof w:val="0"/>
          <w:szCs w:val="22"/>
        </w:rPr>
        <w:t xml:space="preserve">, ktoré nebránia v užívaní tovaru, dohodu o opatreniach na ich odstránenie, prehlásenie predávajúceho, že predmet kúpy odovzdáva a prehlásenie kupujúceho, že predmet kúpy preberá. Tento protokol bude tvoriť prílohu k faktúre. V prípade, ak by predmet kúpy mal </w:t>
      </w:r>
      <w:proofErr w:type="spellStart"/>
      <w:r w:rsidRPr="00F504F5">
        <w:rPr>
          <w:rFonts w:ascii="Times New Roman" w:hAnsi="Times New Roman"/>
          <w:noProof w:val="0"/>
          <w:szCs w:val="22"/>
        </w:rPr>
        <w:t>vady</w:t>
      </w:r>
      <w:proofErr w:type="spellEnd"/>
      <w:r w:rsidRPr="00F504F5">
        <w:rPr>
          <w:rFonts w:ascii="Times New Roman" w:hAnsi="Times New Roman"/>
          <w:noProof w:val="0"/>
          <w:szCs w:val="22"/>
        </w:rPr>
        <w:t>,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FF255B" w:rsidRPr="00FF255B">
        <w:rPr>
          <w:rFonts w:ascii="Times New Roman" w:hAnsi="Times New Roman"/>
          <w:noProof w:val="0"/>
          <w:szCs w:val="22"/>
          <w:lang w:eastAsia="ar-SA"/>
        </w:rPr>
        <w:t>Materská škola Nepoškvrneného srdca Panny Márie, Kláštorné nám. 1, Malacky</w:t>
      </w:r>
      <w:r w:rsidR="00FF255B" w:rsidRPr="00FF255B">
        <w:rPr>
          <w:rFonts w:ascii="Times New Roman" w:hAnsi="Times New Roman"/>
          <w:noProof w:val="0"/>
          <w:szCs w:val="22"/>
          <w:lang w:eastAsia="ar-SA"/>
        </w:rPr>
        <w:t>.</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bookmarkStart w:id="0" w:name="_GoBack"/>
      <w:bookmarkEnd w:id="0"/>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zodpovedá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ktoré má predmet kúpy v čase jeho odovzdania kupujúcemu.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w:t>
      </w:r>
      <w:proofErr w:type="spellStart"/>
      <w:r w:rsidRPr="00F504F5">
        <w:rPr>
          <w:rFonts w:ascii="Times New Roman" w:hAnsi="Times New Roman"/>
          <w:noProof w:val="0"/>
          <w:szCs w:val="22"/>
          <w:lang w:eastAsia="ar-SA"/>
        </w:rPr>
        <w:t>vada</w:t>
      </w:r>
      <w:proofErr w:type="spellEnd"/>
      <w:r w:rsidRPr="00F504F5">
        <w:rPr>
          <w:rFonts w:ascii="Times New Roman" w:hAnsi="Times New Roman"/>
          <w:noProof w:val="0"/>
          <w:szCs w:val="22"/>
          <w:lang w:eastAsia="ar-SA"/>
        </w:rPr>
        <w:t xml:space="preserve"> na tovare, kupujúci písomne upozorní predávajúceho na tento jav. Zmluvné strany sa dohodli, že počas záručnej doby má kupujúci právo požadovať a predávajúci povinnosť bezplatne odstrániť zistené a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začať s odstraňovaním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odstrániť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t.j. ak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 xml:space="preserve">bude meškať so začatím odstraňovania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predmetu zmluvy, resp. bude meškať s odstránením reklamovaných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 </w:t>
      </w:r>
      <w:r w:rsidR="001B1466">
        <w:rPr>
          <w:rFonts w:ascii="Times New Roman" w:hAnsi="Times New Roman"/>
          <w:noProof w:val="0"/>
          <w:szCs w:val="22"/>
          <w:lang w:eastAsia="ar-SA"/>
        </w:rPr>
        <w:t>IKT</w:t>
      </w:r>
    </w:p>
    <w:sectPr w:rsidR="00A222C5" w:rsidRPr="00D9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1716AF"/>
    <w:rsid w:val="001B1466"/>
    <w:rsid w:val="00A222C5"/>
    <w:rsid w:val="00A72F6B"/>
    <w:rsid w:val="00C642B9"/>
    <w:rsid w:val="00D91C1F"/>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1635</Words>
  <Characters>9325</Characters>
  <Application>Microsoft Office Word</Application>
  <DocSecurity>0</DocSecurity>
  <Lines>77</Lines>
  <Paragraphs>21</Paragraphs>
  <ScaleCrop>false</ScaleCrop>
  <Company/>
  <LinksUpToDate>false</LinksUpToDate>
  <CharactersWithSpaces>10939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2019-10-03T11:51:00Z</dcterms:created>
  <dcterms:modified xsi:type="dcterms:W3CDTF">2020-05-05T11:05:00Z</dcterms:modified>
</cp:coreProperties>
</file>